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 xml:space="preserve">глава администрации </w:t>
      </w:r>
      <w:r w:rsidR="00D84BAE">
        <w:t>Терского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</w:t>
      </w:r>
      <w:r w:rsidR="00D84BAE">
        <w:t>Ш.С. Ахмадов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84BAE">
        <w:t>Терского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Грозненского муниципального района на 201</w:t>
      </w:r>
      <w:r w:rsidR="00082861">
        <w:t>9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84BAE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</w:t>
            </w:r>
            <w:bookmarkStart w:id="0" w:name="_GoBack"/>
            <w:bookmarkEnd w:id="0"/>
            <w:r w:rsidRPr="00476A22">
              <w:rPr>
                <w:rStyle w:val="213pt"/>
                <w:sz w:val="28"/>
                <w:szCs w:val="28"/>
              </w:rPr>
              <w:t>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</w:t>
            </w:r>
            <w:proofErr w:type="spellStart"/>
            <w:r w:rsidRPr="00476A22">
              <w:rPr>
                <w:rStyle w:val="213pt"/>
                <w:sz w:val="28"/>
                <w:szCs w:val="28"/>
              </w:rPr>
              <w:t>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</w:t>
            </w:r>
            <w:proofErr w:type="spellEnd"/>
            <w:r w:rsidRPr="00476A22">
              <w:rPr>
                <w:rStyle w:val="213pt"/>
                <w:sz w:val="28"/>
                <w:szCs w:val="28"/>
              </w:rPr>
              <w:t xml:space="preserve">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84BAE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84BAE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84BAE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 xml:space="preserve">Один раз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84BAE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Контроль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21" w:rsidRDefault="00BE7B21" w:rsidP="007E6D54">
      <w:r>
        <w:separator/>
      </w:r>
    </w:p>
  </w:endnote>
  <w:endnote w:type="continuationSeparator" w:id="0">
    <w:p w:rsidR="00BE7B21" w:rsidRDefault="00BE7B21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21" w:rsidRDefault="00BE7B21"/>
  </w:footnote>
  <w:footnote w:type="continuationSeparator" w:id="0">
    <w:p w:rsidR="00BE7B21" w:rsidRDefault="00BE7B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082861"/>
    <w:rsid w:val="00165E6A"/>
    <w:rsid w:val="00476A22"/>
    <w:rsid w:val="00613216"/>
    <w:rsid w:val="0061631E"/>
    <w:rsid w:val="007E6D54"/>
    <w:rsid w:val="00B235B4"/>
    <w:rsid w:val="00B337C1"/>
    <w:rsid w:val="00BE7B21"/>
    <w:rsid w:val="00C11DD3"/>
    <w:rsid w:val="00D474A8"/>
    <w:rsid w:val="00D84BAE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2018-07-10T07:41:00Z</cp:lastPrinted>
  <dcterms:created xsi:type="dcterms:W3CDTF">2020-03-02T06:46:00Z</dcterms:created>
  <dcterms:modified xsi:type="dcterms:W3CDTF">2022-09-30T08:20:00Z</dcterms:modified>
</cp:coreProperties>
</file>